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SUBJECT TO ANY ADDITIONAL STATE LAW REQUIREMENTS."/>
        <w:tblDescription w:val="SUBJECT TO ANY ADDITIONAL STATE LAW REQUIREMENTS.&#10;"/>
      </w:tblPr>
      <w:tblGrid>
        <w:gridCol w:w="9350"/>
      </w:tblGrid>
      <w:tr w:rsidR="00EA57D3" w14:paraId="2A6F20BA" w14:textId="77777777" w:rsidTr="00EA57D3">
        <w:tc>
          <w:tcPr>
            <w:tcW w:w="9350" w:type="dxa"/>
          </w:tcPr>
          <w:p w14:paraId="1821157A" w14:textId="06A8EF0F" w:rsidR="00EA57D3" w:rsidRPr="00B94653" w:rsidRDefault="00EA57D3" w:rsidP="002021EE">
            <w:pPr>
              <w:pStyle w:val="Heading1"/>
              <w:spacing w:before="360"/>
            </w:pPr>
            <w:r w:rsidRPr="00EA57D3">
              <w:t xml:space="preserve">FOR USE IN ALL SIX NEW ENGLAND STATES </w:t>
            </w:r>
            <w:r w:rsidRPr="00EA57D3">
              <w:br/>
              <w:t>SUBJECT TO ANY ADDITIONAL STATE LAW REQUIREMENTS.</w:t>
            </w:r>
            <w:r w:rsidR="002021EE">
              <w:br/>
            </w:r>
            <w:r w:rsidRPr="00B94653">
              <w:t>Remove this notice before executing and recording this document.</w:t>
            </w:r>
          </w:p>
          <w:p w14:paraId="4841B107" w14:textId="77777777" w:rsidR="00EA57D3" w:rsidRPr="00E35D2F" w:rsidRDefault="00EA57D3" w:rsidP="00EA57D3">
            <w:pPr>
              <w:rPr>
                <w:b/>
                <w:bCs/>
              </w:rPr>
            </w:pPr>
            <w:r w:rsidRPr="00B94653">
              <w:rPr>
                <w:b/>
                <w:bCs/>
              </w:rPr>
              <w:t>PLEASE CONSULT LEGAL COUNSEL TO ENSURE FULL COMPLIANCE WITH RECORDING AND OTHER REQUIREMENTS OF STATE LAW. BY PROVIDING YOU WITH THESE DOCUMENTS, THE FEDERAL HOME LOAN BANK OF BOSTON (</w:t>
            </w:r>
            <w:r w:rsidRPr="00E35D2F">
              <w:rPr>
                <w:b/>
                <w:bCs/>
              </w:rPr>
              <w:t xml:space="preserve">FHLBank Boston OR THE BANK) IS IN NO WAY PROVIDING LEGAL ADVICE OR MAKING ANY REPRESENTATION AS TO THE EFFECTIVENESS OF THE DOCUMENTS. </w:t>
            </w:r>
          </w:p>
          <w:p w14:paraId="1B312CDE" w14:textId="77777777" w:rsidR="00EA57D3" w:rsidRPr="00E35D2F" w:rsidRDefault="00EA57D3" w:rsidP="00EA57D3">
            <w:pPr>
              <w:jc w:val="both"/>
              <w:rPr>
                <w:b/>
              </w:rPr>
            </w:pPr>
            <w:r w:rsidRPr="00E35D2F">
              <w:rPr>
                <w:b/>
              </w:rPr>
              <w:t xml:space="preserve">Pay particular attention to the following: </w:t>
            </w:r>
          </w:p>
          <w:p w14:paraId="4892F386" w14:textId="77777777" w:rsidR="00EA57D3" w:rsidRPr="008E0D15" w:rsidRDefault="00EA57D3" w:rsidP="00AD687A">
            <w:pPr>
              <w:pStyle w:val="ListNumber"/>
            </w:pPr>
            <w:r w:rsidRPr="00E35D2F">
              <w:t>No modifications are allowed without agreement of FHLBank Boston prior to execution.</w:t>
            </w:r>
          </w:p>
          <w:p w14:paraId="48954255" w14:textId="77777777" w:rsidR="00EA57D3" w:rsidRPr="008E0D15" w:rsidRDefault="00EA57D3" w:rsidP="00AD687A">
            <w:pPr>
              <w:pStyle w:val="ListNumber"/>
            </w:pPr>
            <w:r w:rsidRPr="00E35D2F">
              <w:t xml:space="preserve">The parties identified in this document must reflect the parties, as applicable, to the executed AHP Agreement related to this transaction. </w:t>
            </w:r>
          </w:p>
          <w:p w14:paraId="211E8AE0" w14:textId="77777777" w:rsidR="00EA57D3" w:rsidRPr="008E0D15" w:rsidRDefault="00EA57D3" w:rsidP="00AD687A">
            <w:pPr>
              <w:pStyle w:val="ListNumber"/>
            </w:pPr>
            <w:r w:rsidRPr="00E35D2F">
              <w:t>The legal description of the property(ies) should match the legal description included in the associated first mortgage.  Please contact FHLBank Boston if this will not be the case.</w:t>
            </w:r>
          </w:p>
          <w:p w14:paraId="2BC27E9B" w14:textId="77777777" w:rsidR="00EA57D3" w:rsidRPr="008E0D15" w:rsidRDefault="00EA57D3" w:rsidP="00AD687A">
            <w:pPr>
              <w:pStyle w:val="ListNumber"/>
            </w:pPr>
            <w:r w:rsidRPr="00E35D2F">
              <w:t xml:space="preserve">If this is a leasehold transaction, please update the document appropriately. </w:t>
            </w:r>
          </w:p>
          <w:p w14:paraId="5F7FC1DF" w14:textId="77777777" w:rsidR="00EA57D3" w:rsidRPr="00E35D2F" w:rsidRDefault="00EA57D3" w:rsidP="00AD687A">
            <w:pPr>
              <w:pStyle w:val="ListNumber"/>
            </w:pPr>
            <w:r w:rsidRPr="00E35D2F">
              <w:t xml:space="preserve">FYI FOR LOW INCOME HOUSING TAX CREDIT INITIATIVES ONLY: </w:t>
            </w:r>
          </w:p>
          <w:p w14:paraId="433D5F61" w14:textId="77777777" w:rsidR="00EA57D3" w:rsidRPr="00E35D2F" w:rsidRDefault="00EA57D3" w:rsidP="00AD687A">
            <w:pPr>
              <w:pStyle w:val="ListBullet"/>
            </w:pPr>
            <w:r w:rsidRPr="00E35D2F">
              <w:t>It is FHLB</w:t>
            </w:r>
            <w:r>
              <w:t>ank Boston’s</w:t>
            </w:r>
            <w:r w:rsidRPr="00E35D2F">
              <w:t xml:space="preserve"> experience that LIHTC counsel or others may have multiple questions or concerns regarding the AHP Regulation and these legal documents, including but not limited to the 15-year retention period. Please review all questions with your Community Investment Manager well in advance of closing to avoid any delays. </w:t>
            </w:r>
          </w:p>
          <w:p w14:paraId="2480DE23" w14:textId="77777777" w:rsidR="00EA57D3" w:rsidRPr="008E0D15" w:rsidRDefault="00EA57D3" w:rsidP="00AD687A">
            <w:pPr>
              <w:pStyle w:val="ListBullet"/>
            </w:pPr>
            <w:r w:rsidRPr="00E35D2F">
              <w:t>When the Lender is the Sponsor, you must delete any reference to Lender “as a shareholder of FHLBank Boston.”</w:t>
            </w:r>
          </w:p>
          <w:p w14:paraId="7ED6ACA4" w14:textId="77777777" w:rsidR="00EA57D3" w:rsidRPr="008E0D15" w:rsidRDefault="00EA57D3" w:rsidP="00AD687A">
            <w:pPr>
              <w:pStyle w:val="ListNumber"/>
            </w:pPr>
            <w:r w:rsidRPr="00E35D2F">
              <w:t xml:space="preserve">ERRORS TO THIS OR ANY OTHER RELATED LEGAL DOCUMENTS REGARDING </w:t>
            </w:r>
            <w:r w:rsidRPr="00E35D2F">
              <w:rPr>
                <w:bCs/>
              </w:rPr>
              <w:t xml:space="preserve">FHLBank Boston </w:t>
            </w:r>
            <w:r w:rsidRPr="00E35D2F">
              <w:t xml:space="preserve">AHP FUNDING WILL DELAY FUNDING AND REQUIRE CORRECTION AT THE BORROWER’S SOLE EXPENSE. </w:t>
            </w:r>
          </w:p>
          <w:p w14:paraId="3BBBB081" w14:textId="0CAA1E2C" w:rsidR="00EA57D3" w:rsidRDefault="00EA57D3" w:rsidP="00EA57D3">
            <w:pPr>
              <w:pStyle w:val="Heading1"/>
            </w:pPr>
            <w:r w:rsidRPr="00E35D2F">
              <w:rPr>
                <w:b w:val="0"/>
              </w:rPr>
              <w:t>For more information, contact your Community Investment Manager at FHLBank Boston</w:t>
            </w:r>
          </w:p>
        </w:tc>
      </w:tr>
    </w:tbl>
    <w:p w14:paraId="42BC622F" w14:textId="77777777" w:rsidR="00ED4387" w:rsidRPr="00E02423" w:rsidRDefault="00ED4387" w:rsidP="00ED4387">
      <w:pPr>
        <w:rPr>
          <w:rFonts w:cs="Calibri"/>
          <w:color w:val="000000"/>
          <w:sz w:val="20"/>
        </w:rPr>
      </w:pPr>
      <w:r w:rsidRPr="00E35D2F">
        <w:rPr>
          <w:rFonts w:cs="Calibri"/>
          <w:color w:val="000000"/>
          <w:sz w:val="20"/>
        </w:rPr>
        <w:t>Classification: Public</w:t>
      </w:r>
    </w:p>
    <w:p w14:paraId="500F8EE9" w14:textId="77777777" w:rsidR="00AF0F8F" w:rsidRPr="00A431A6" w:rsidRDefault="00ED4387" w:rsidP="00EA57D3">
      <w:pPr>
        <w:pStyle w:val="H1"/>
        <w:rPr>
          <w:i w:val="0"/>
          <w:iCs/>
        </w:rPr>
      </w:pPr>
      <w:r w:rsidRPr="00A431A6">
        <w:rPr>
          <w:i w:val="0"/>
          <w:iCs/>
        </w:rPr>
        <w:br w:type="page"/>
      </w:r>
      <w:r w:rsidR="00AF0F8F" w:rsidRPr="00A431A6">
        <w:rPr>
          <w:i w:val="0"/>
          <w:iCs/>
        </w:rPr>
        <w:lastRenderedPageBreak/>
        <w:t>COLLATERAL ASSIGNMENT OF PROMISSORY NOTE AND</w:t>
      </w:r>
    </w:p>
    <w:p w14:paraId="5D02B431" w14:textId="77777777" w:rsidR="00AF0F8F" w:rsidRPr="00ED4387" w:rsidRDefault="00AF0F8F" w:rsidP="00AD687A">
      <w:pPr>
        <w:pStyle w:val="H2nolist"/>
      </w:pPr>
      <w:r w:rsidRPr="00ED4387">
        <w:t xml:space="preserve">[LEASEHOLD] </w:t>
      </w:r>
      <w:r w:rsidRPr="00AD687A">
        <w:t>MORTGAGE</w:t>
      </w:r>
    </w:p>
    <w:p w14:paraId="4417B6FD" w14:textId="63D6D746" w:rsidR="00AF0F8F" w:rsidRPr="00ED4387" w:rsidRDefault="00AF0F8F" w:rsidP="00A431A6">
      <w:pPr>
        <w:tabs>
          <w:tab w:val="left" w:leader="underscore" w:pos="3600"/>
          <w:tab w:val="left" w:leader="underscore" w:pos="5040"/>
          <w:tab w:val="left" w:leader="underscore" w:pos="8640"/>
        </w:tabs>
        <w:ind w:firstLine="720"/>
      </w:pPr>
      <w:r w:rsidRPr="006D4C6C">
        <w:t xml:space="preserve">This COLLATERAL ASSIGNMENT OF PROMISSORY NOTE AND [LEASEHOLD] MORTGAGE (this “Assignment”) is made this </w:t>
      </w:r>
      <w:r w:rsidR="00AD687A">
        <w:tab/>
      </w:r>
      <w:r w:rsidRPr="006D4C6C">
        <w:rPr>
          <w:vertAlign w:val="superscript"/>
        </w:rPr>
        <w:t>th</w:t>
      </w:r>
      <w:r w:rsidRPr="006D4C6C">
        <w:t xml:space="preserve"> day of </w:t>
      </w:r>
      <w:r w:rsidR="00AD687A">
        <w:tab/>
      </w:r>
      <w:r w:rsidRPr="006D4C6C">
        <w:t xml:space="preserve">, </w:t>
      </w:r>
      <w:r w:rsidR="00922708" w:rsidRPr="00ED4387">
        <w:t>202</w:t>
      </w:r>
      <w:r w:rsidR="00E7487B">
        <w:t>4</w:t>
      </w:r>
      <w:r w:rsidR="00922708" w:rsidRPr="00ED4387">
        <w:t xml:space="preserve"> </w:t>
      </w:r>
      <w:r w:rsidRPr="00ED4387">
        <w:t xml:space="preserve">by </w:t>
      </w:r>
      <w:r w:rsidR="008D3512">
        <w:br/>
      </w:r>
      <w:r w:rsidRPr="00ED4387">
        <w:t>the</w:t>
      </w:r>
      <w:r w:rsidR="008D3512">
        <w:tab/>
      </w:r>
      <w:r w:rsidRPr="00ED4387">
        <w:t>, having a mailing address at</w:t>
      </w:r>
      <w:r w:rsidR="00A431A6">
        <w:br/>
      </w:r>
      <w:r w:rsidR="008D3512">
        <w:tab/>
      </w:r>
      <w:r w:rsidRPr="00ED4387">
        <w:t xml:space="preserve">(“Assignor”) to </w:t>
      </w:r>
      <w:r w:rsidR="00AD687A">
        <w:tab/>
      </w:r>
      <w:r w:rsidR="00A431A6">
        <w:tab/>
      </w:r>
      <w:r w:rsidRPr="00ED4387">
        <w:t xml:space="preserve">, a </w:t>
      </w:r>
      <w:r w:rsidR="00A431A6">
        <w:t>|</w:t>
      </w:r>
      <w:r w:rsidR="00A431A6">
        <w:br/>
      </w:r>
      <w:r w:rsidRPr="00ED4387">
        <w:t>__________________ banking institution, having a mailing address at _________________________________ (the “Assignee”).</w:t>
      </w:r>
    </w:p>
    <w:p w14:paraId="401DBB21" w14:textId="77777777" w:rsidR="00AF0F8F" w:rsidRPr="00ED4387" w:rsidRDefault="00AF0F8F" w:rsidP="00AD687A">
      <w:pPr>
        <w:pStyle w:val="Heading3"/>
      </w:pPr>
      <w:r w:rsidRPr="00AD687A">
        <w:t>WITNESSETH</w:t>
      </w:r>
    </w:p>
    <w:p w14:paraId="65AA777C" w14:textId="681DC2CB" w:rsidR="00AF0F8F" w:rsidRPr="00ED4387" w:rsidRDefault="00AF0F8F" w:rsidP="00A431A6">
      <w:pPr>
        <w:tabs>
          <w:tab w:val="left" w:leader="underscore" w:pos="9000"/>
        </w:tabs>
        <w:ind w:firstLine="720"/>
      </w:pPr>
      <w:r w:rsidRPr="00ED4387">
        <w:t>WHEREAS, Assignor has received a Subsidy award in the amount of $</w:t>
      </w:r>
      <w:r w:rsidR="00A431A6">
        <w:tab/>
      </w:r>
      <w:r w:rsidRPr="00ED4387">
        <w:t>(the “AHP Subsidy”) from Assignee under the Affordable Housing Program of the Federal Home Loan Bank of Boston (“</w:t>
      </w:r>
      <w:r w:rsidR="00097095" w:rsidRPr="00ED4387">
        <w:t>FHLB</w:t>
      </w:r>
      <w:r w:rsidR="00B20DB0" w:rsidRPr="00ED4387">
        <w:t>ank Boston or the Bank</w:t>
      </w:r>
      <w:r w:rsidRPr="00ED4387">
        <w:t>”); and</w:t>
      </w:r>
    </w:p>
    <w:p w14:paraId="19A82CB6" w14:textId="51527393" w:rsidR="00AF0F8F" w:rsidRPr="00ED4387" w:rsidRDefault="00AF0F8F" w:rsidP="00A431A6">
      <w:pPr>
        <w:ind w:firstLine="720"/>
      </w:pPr>
      <w:r w:rsidRPr="00ED4387">
        <w:t xml:space="preserve">WHEREAS, in connection with the AHP Subsidy, Assignor, Assignee, Owner, and </w:t>
      </w:r>
      <w:r w:rsidR="00097095" w:rsidRPr="00ED4387">
        <w:t>FHLB</w:t>
      </w:r>
      <w:r w:rsidR="00B20DB0" w:rsidRPr="00ED4387">
        <w:t>ank Boston</w:t>
      </w:r>
      <w:r w:rsidRPr="00ED4387">
        <w:t xml:space="preserve"> have entered into an Affordable Housing Program Agreement </w:t>
      </w:r>
      <w:r w:rsidR="00B20DB0" w:rsidRPr="00ED4387">
        <w:t>executed in connection with the Project</w:t>
      </w:r>
      <w:r w:rsidRPr="00ED4387">
        <w:t xml:space="preserve"> </w:t>
      </w:r>
      <w:r w:rsidR="00B20DB0" w:rsidRPr="00ED4387">
        <w:t>(</w:t>
      </w:r>
      <w:r w:rsidRPr="00ED4387">
        <w:t>as such agreement may be amended from time to time the “AHP Agreement”)</w:t>
      </w:r>
      <w:r w:rsidR="00806C1E" w:rsidRPr="00ED4387">
        <w:t>. Capitalized terms used but not defined in this Assignment shall have the meaning set forth in the AHP Agreement</w:t>
      </w:r>
      <w:r w:rsidRPr="00ED4387">
        <w:t>; and</w:t>
      </w:r>
    </w:p>
    <w:p w14:paraId="0B955DD5" w14:textId="4305F8F1" w:rsidR="00AF0F8F" w:rsidRPr="00ED4387" w:rsidRDefault="00AF0F8F" w:rsidP="00A431A6">
      <w:pPr>
        <w:tabs>
          <w:tab w:val="left" w:leader="underscore" w:pos="2160"/>
        </w:tabs>
        <w:ind w:firstLine="720"/>
      </w:pPr>
      <w:r w:rsidRPr="00ED4387">
        <w:t xml:space="preserve">WHEREAS, Assignor will loan or transfer the proceeds from the AHP Subsidy </w:t>
      </w:r>
      <w:r w:rsidR="00A431A6">
        <w:br/>
      </w:r>
      <w:r w:rsidRPr="00ED4387">
        <w:t>to</w:t>
      </w:r>
      <w:r w:rsidR="00A431A6">
        <w:tab/>
      </w:r>
      <w:r w:rsidRPr="00ED4387">
        <w:t xml:space="preserve">, (the “Owner”) for the purposes described in the AHP Application as approved by </w:t>
      </w:r>
      <w:r w:rsidR="00097095" w:rsidRPr="00ED4387">
        <w:t>FHLB</w:t>
      </w:r>
      <w:r w:rsidR="00B20DB0" w:rsidRPr="00ED4387">
        <w:t>ank Boston</w:t>
      </w:r>
      <w:r w:rsidRPr="00ED4387">
        <w:t>; and</w:t>
      </w:r>
    </w:p>
    <w:p w14:paraId="58EBC391" w14:textId="59DFDA26" w:rsidR="00AF0F8F" w:rsidRPr="00ED4387" w:rsidRDefault="00AF0F8F" w:rsidP="00A431A6">
      <w:pPr>
        <w:ind w:firstLine="720"/>
      </w:pPr>
      <w:r w:rsidRPr="00ED4387">
        <w:t>WHEREAS, under the AHP Agreement, Assignor has agreed to assure that the Owner complies with the affordable housing restrictions set forth in the AHP Agreement (the “Obligations”); and</w:t>
      </w:r>
    </w:p>
    <w:p w14:paraId="79D7894A" w14:textId="55DD3CCA" w:rsidR="00AF0F8F" w:rsidRPr="00ED4387" w:rsidRDefault="00AF0F8F" w:rsidP="00A431A6">
      <w:pPr>
        <w:tabs>
          <w:tab w:val="left" w:leader="underscore" w:pos="5760"/>
        </w:tabs>
        <w:ind w:firstLine="720"/>
      </w:pPr>
      <w:r w:rsidRPr="00ED4387">
        <w:t>WHEREAS, to secure repayment or recapture of the AHP Subsidy, Assignor has received from Owner a promissory note in the amount of $</w:t>
      </w:r>
      <w:r w:rsidR="00A431A6">
        <w:t xml:space="preserve"> </w:t>
      </w:r>
      <w:r w:rsidR="00A431A6">
        <w:tab/>
      </w:r>
      <w:r w:rsidRPr="00ED4387">
        <w:t xml:space="preserve"> of even date or substantially even date herewith (the “Note”) and a </w:t>
      </w:r>
      <w:r w:rsidR="00B20DB0" w:rsidRPr="00ED4387">
        <w:t>[</w:t>
      </w:r>
      <w:r w:rsidRPr="00ED4387">
        <w:t>leasehold</w:t>
      </w:r>
      <w:r w:rsidR="00B20DB0" w:rsidRPr="00ED4387">
        <w:t>]</w:t>
      </w:r>
      <w:r w:rsidRPr="00ED4387">
        <w:t xml:space="preserve"> mortgage of even date or substantially even date herewith, to which reference may be had for a more particular description of the land therein described (the “Mortgage”).</w:t>
      </w:r>
    </w:p>
    <w:p w14:paraId="05B71F78" w14:textId="432D22E9" w:rsidR="00AF0F8F" w:rsidRPr="00ED4387" w:rsidRDefault="00AF0F8F" w:rsidP="00A431A6">
      <w:pPr>
        <w:ind w:firstLine="720"/>
      </w:pPr>
      <w:r w:rsidRPr="00ED4387">
        <w:t>NOW, THEREFORE, in consideration of the AHP Subsidy and other valuable consideration, the receipt of which is hereby acknowledged, and as further security for the performance of the Obligations, the Assignor hereby grants, conveys, transfers, and assigns to the Assignee the Mortgage, the Note, the debt and claims thereby secured and all of the Assignor’s right, title and interest by virtue of said Mortgage, in and to the real estate therein described, and benefits under, in and to the Mortgage.</w:t>
      </w:r>
    </w:p>
    <w:p w14:paraId="54187FDB" w14:textId="59C8C7DB" w:rsidR="00AF0F8F" w:rsidRPr="00ED4387" w:rsidRDefault="00AF0F8F" w:rsidP="00A431A6">
      <w:pPr>
        <w:ind w:firstLine="720"/>
      </w:pPr>
      <w:r w:rsidRPr="00ED4387">
        <w:t>TO HAVE AND TO HOLD the same with all of the rights, privileges and appurtenances there</w:t>
      </w:r>
      <w:r w:rsidR="00D95909" w:rsidRPr="00ED4387">
        <w:t xml:space="preserve"> </w:t>
      </w:r>
      <w:r w:rsidRPr="00ED4387">
        <w:t>unto belonging unto the Assignee, its successors and assigns until such time as the Obligations have been satisfied in full for the purpose of further and collaterally securing same (but not, however, for the purposes of securing any other obligations to Assignee, whether now existing or hereafter arising).</w:t>
      </w:r>
    </w:p>
    <w:p w14:paraId="2072CC76" w14:textId="77777777" w:rsidR="00AF0F8F" w:rsidRPr="00ED4387" w:rsidRDefault="00AF0F8F">
      <w:r w:rsidRPr="00ED4387">
        <w:t>The Assignor and the Assignee agree that the following terms and conditions shall govern this Agreement:</w:t>
      </w:r>
    </w:p>
    <w:p w14:paraId="68FA4A48" w14:textId="77777777" w:rsidR="00AF0F8F" w:rsidRPr="00ED4387" w:rsidRDefault="00AF0F8F">
      <w:pPr>
        <w:ind w:firstLine="720"/>
      </w:pPr>
      <w:r w:rsidRPr="00ED4387">
        <w:lastRenderedPageBreak/>
        <w:t>1.</w:t>
      </w:r>
      <w:r w:rsidRPr="00ED4387">
        <w:tab/>
      </w:r>
      <w:r w:rsidRPr="00ED4387">
        <w:rPr>
          <w:u w:val="single"/>
        </w:rPr>
        <w:t>Assignor’s Rights until Default.</w:t>
      </w:r>
      <w:r w:rsidRPr="00ED4387">
        <w:t xml:space="preserve">  So long as no default shall exist under the Obligations, the Assignor shall have the right to exercise all of the Assignor’s rights and benefits under, in and to the Note and the Mortgage.</w:t>
      </w:r>
    </w:p>
    <w:p w14:paraId="639C7137" w14:textId="7E821E37" w:rsidR="00AF0F8F" w:rsidRPr="00ED4387" w:rsidRDefault="00AF0F8F">
      <w:pPr>
        <w:ind w:left="720"/>
        <w:rPr>
          <w:u w:val="single"/>
        </w:rPr>
      </w:pPr>
      <w:r w:rsidRPr="00ED4387">
        <w:t>2.</w:t>
      </w:r>
      <w:r w:rsidRPr="00ED4387">
        <w:tab/>
      </w:r>
      <w:r w:rsidRPr="00ED4387">
        <w:rPr>
          <w:u w:val="single"/>
        </w:rPr>
        <w:t>Assignee’s Rights in Event of Default.</w:t>
      </w:r>
    </w:p>
    <w:p w14:paraId="1B753071" w14:textId="77777777" w:rsidR="00AF0F8F" w:rsidRPr="00ED4387" w:rsidRDefault="00AF0F8F">
      <w:pPr>
        <w:numPr>
          <w:ilvl w:val="1"/>
          <w:numId w:val="9"/>
        </w:numPr>
        <w:tabs>
          <w:tab w:val="clear" w:pos="1440"/>
        </w:tabs>
        <w:ind w:left="0" w:firstLine="720"/>
      </w:pPr>
      <w:r w:rsidRPr="00ED4387">
        <w:t>Immediately upon the occurrence of a default under the Obligations, and until such default shall have been cured, as hereinafter defined, the Assignee is hereby expressly and irrevocably authorized to assume any or all of Assignor’s rights with respect to the Note and the Mortgage without further authorization, notice or demand and without the commencement of any action.</w:t>
      </w:r>
    </w:p>
    <w:p w14:paraId="3F664B13" w14:textId="77777777" w:rsidR="00AF0F8F" w:rsidRPr="00ED4387" w:rsidRDefault="00AF0F8F">
      <w:pPr>
        <w:numPr>
          <w:ilvl w:val="1"/>
          <w:numId w:val="9"/>
        </w:numPr>
        <w:tabs>
          <w:tab w:val="clear" w:pos="1440"/>
        </w:tabs>
        <w:ind w:left="0" w:firstLine="720"/>
      </w:pPr>
      <w:r w:rsidRPr="00ED4387">
        <w:t xml:space="preserve">The Assignor hereby constitutes and appoints the Assignee irrevocably, and with full power of substitution and revocation, the true and lawful attorney, for and in the name, place and stead of the Assignor, to exercise any and all rights and remedies of the Assignor under the Note and the Mortgage.  The Assignor hereby grants unto said attorney full power and authority to do and perform each and every act whatsoever requisite to be done with respect to the Note and the Mortgage, as fully to all intents and purposes, as the Assignor could do if personally present, hereby ratifying and confirming all that said attorney shall lawfully do or cause to be done by virtue hereof, </w:t>
      </w:r>
      <w:r w:rsidRPr="00ED4387">
        <w:rPr>
          <w:u w:val="single"/>
        </w:rPr>
        <w:t>provided</w:t>
      </w:r>
      <w:r w:rsidRPr="00ED4387">
        <w:t>, however, that any acts or omissions by the Assignee after default shall be at the Assignee’s discretion and shall not be or become the basis for any liability of the Assignor.</w:t>
      </w:r>
    </w:p>
    <w:p w14:paraId="07D0427D" w14:textId="77777777" w:rsidR="00AF0F8F" w:rsidRPr="00ED4387" w:rsidRDefault="00AF0F8F">
      <w:pPr>
        <w:numPr>
          <w:ilvl w:val="1"/>
          <w:numId w:val="9"/>
        </w:numPr>
        <w:tabs>
          <w:tab w:val="clear" w:pos="1440"/>
        </w:tabs>
        <w:ind w:left="0" w:firstLine="720"/>
      </w:pPr>
      <w:r w:rsidRPr="00ED4387">
        <w:t>Acceptance of this Assignment by the Assignee shall not constitute a satisfaction of all or any part of the Obligations of the Assignor.</w:t>
      </w:r>
    </w:p>
    <w:p w14:paraId="434DC591" w14:textId="77777777" w:rsidR="00AF0F8F" w:rsidRPr="00ED4387" w:rsidRDefault="00AF0F8F">
      <w:pPr>
        <w:numPr>
          <w:ilvl w:val="1"/>
          <w:numId w:val="9"/>
        </w:numPr>
        <w:tabs>
          <w:tab w:val="clear" w:pos="1440"/>
        </w:tabs>
        <w:ind w:left="0" w:firstLine="720"/>
      </w:pPr>
      <w:r w:rsidRPr="00ED4387">
        <w:t>The rights and powers of the Assignee hereunder shall continue and remain in full force and effect until all Obligations are satisfied in full. Assignee shall not be liable to Assignor or anyone claiming under or through Assignor by reason of any act or omission by the Assignor hereunder.</w:t>
      </w:r>
    </w:p>
    <w:p w14:paraId="53BC268F" w14:textId="77777777" w:rsidR="00AF0F8F" w:rsidRPr="00ED4387" w:rsidRDefault="00AF0F8F">
      <w:pPr>
        <w:numPr>
          <w:ilvl w:val="1"/>
          <w:numId w:val="9"/>
        </w:numPr>
        <w:tabs>
          <w:tab w:val="clear" w:pos="1440"/>
        </w:tabs>
        <w:ind w:left="0" w:firstLine="720"/>
      </w:pPr>
      <w:r w:rsidRPr="00ED4387">
        <w:t xml:space="preserve">A default shall be cured when the Assignor shall have satisfied applicable provisions for cure in the AHP Agreement and AHP regulations and polices of the Federal Housing Finance </w:t>
      </w:r>
      <w:r w:rsidR="00611809">
        <w:t>Agency a</w:t>
      </w:r>
      <w:r w:rsidRPr="00ED4387">
        <w:t>dopted therein.</w:t>
      </w:r>
    </w:p>
    <w:p w14:paraId="0F0A6B62" w14:textId="6F292C4B" w:rsidR="00AF0F8F" w:rsidRPr="00ED4387" w:rsidRDefault="00AF0F8F">
      <w:pPr>
        <w:numPr>
          <w:ilvl w:val="0"/>
          <w:numId w:val="9"/>
        </w:numPr>
        <w:tabs>
          <w:tab w:val="clear" w:pos="720"/>
        </w:tabs>
        <w:ind w:firstLine="720"/>
      </w:pPr>
      <w:r w:rsidRPr="00ED4387">
        <w:rPr>
          <w:u w:val="single"/>
        </w:rPr>
        <w:t>Termination.</w:t>
      </w:r>
      <w:r w:rsidR="002021EE">
        <w:t xml:space="preserve"> </w:t>
      </w:r>
      <w:r w:rsidRPr="00ED4387">
        <w:t>Upon satisfaction in full of the Obligations, this Assignment shall be void and of no effect and, in that event, upon Assignor’s request, the Assignee agrees to execute and deliver to the Assignor instruments evidencing the termination of this Agreement and/or release of Assignee’s interest in the Note and the Mortgage.</w:t>
      </w:r>
    </w:p>
    <w:p w14:paraId="6F1CD0C5" w14:textId="77777777" w:rsidR="00056AD2" w:rsidRPr="00BA0E16" w:rsidRDefault="00056AD2" w:rsidP="00056AD2">
      <w:pPr>
        <w:numPr>
          <w:ilvl w:val="0"/>
          <w:numId w:val="9"/>
        </w:numPr>
        <w:tabs>
          <w:tab w:val="clear" w:pos="720"/>
        </w:tabs>
        <w:ind w:firstLine="720"/>
      </w:pPr>
      <w:r w:rsidRPr="00ED4387">
        <w:t xml:space="preserve">Notice. </w:t>
      </w:r>
      <w:r w:rsidR="002E54A2" w:rsidRPr="00ED4387">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0" w:name="_Hlk89431041"/>
      <w:r w:rsidR="002E54A2" w:rsidRPr="00ED4387">
        <w:t xml:space="preserve">or sent by electronic mail (“email”) with notice by one of the other delivery methods set forth in this section to promptly follow. </w:t>
      </w:r>
      <w:bookmarkEnd w:id="0"/>
      <w:r w:rsidR="002E54A2" w:rsidRPr="00ED4387">
        <w:t xml:space="preserve">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 </w:t>
      </w:r>
      <w:bookmarkStart w:id="1" w:name="_Hlk89431067"/>
      <w:r w:rsidR="002E54A2" w:rsidRPr="00ED4387">
        <w:t>and notice sent by email shall be effective upon the recipient’s confirmation of receipt</w:t>
      </w:r>
      <w:bookmarkEnd w:id="1"/>
      <w:r w:rsidR="002E54A2" w:rsidRPr="00ED4387">
        <w:t>.</w:t>
      </w:r>
      <w:r w:rsidRPr="00ED4387">
        <w:t xml:space="preserve"> </w:t>
      </w:r>
      <w:r w:rsidRPr="00056AD2">
        <w:t>Notwithstanding the fo</w:t>
      </w:r>
      <w:r w:rsidRPr="006D4C6C">
        <w:t xml:space="preserve">regoing, routine communications may be sent by ordinary first-class mail. </w:t>
      </w:r>
    </w:p>
    <w:p w14:paraId="6564E0CC" w14:textId="77777777" w:rsidR="00AF0F8F" w:rsidRPr="006D4C6C" w:rsidRDefault="00AF0F8F">
      <w:pPr>
        <w:numPr>
          <w:ilvl w:val="0"/>
          <w:numId w:val="9"/>
        </w:numPr>
        <w:tabs>
          <w:tab w:val="clear" w:pos="720"/>
        </w:tabs>
        <w:ind w:firstLine="720"/>
      </w:pPr>
      <w:r w:rsidRPr="006D4C6C">
        <w:rPr>
          <w:u w:val="single"/>
        </w:rPr>
        <w:lastRenderedPageBreak/>
        <w:t>Miscellaneous</w:t>
      </w:r>
      <w:r w:rsidRPr="006D4C6C">
        <w:t>.</w:t>
      </w:r>
    </w:p>
    <w:p w14:paraId="269FDF13" w14:textId="0ADBAF77" w:rsidR="00AF0F8F" w:rsidRPr="00ED4387" w:rsidRDefault="00AF0F8F" w:rsidP="007517DE">
      <w:pPr>
        <w:numPr>
          <w:ilvl w:val="1"/>
          <w:numId w:val="9"/>
        </w:numPr>
        <w:tabs>
          <w:tab w:val="left" w:pos="1440"/>
          <w:tab w:val="left" w:leader="underscore" w:pos="3600"/>
        </w:tabs>
        <w:ind w:left="0" w:firstLine="720"/>
      </w:pPr>
      <w:r w:rsidRPr="00ED4387">
        <w:t xml:space="preserve">This Assignment shall be construed and enforced in accordance with and governed by the laws of the State of </w:t>
      </w:r>
      <w:r w:rsidR="007517DE">
        <w:tab/>
      </w:r>
      <w:r w:rsidRPr="00ED4387">
        <w:t>.</w:t>
      </w:r>
    </w:p>
    <w:p w14:paraId="7C251D39" w14:textId="77777777" w:rsidR="00AF0F8F" w:rsidRPr="00ED4387" w:rsidRDefault="00AF0F8F">
      <w:pPr>
        <w:numPr>
          <w:ilvl w:val="1"/>
          <w:numId w:val="9"/>
        </w:numPr>
        <w:tabs>
          <w:tab w:val="clear" w:pos="1440"/>
        </w:tabs>
        <w:ind w:left="0" w:firstLine="720"/>
      </w:pPr>
      <w:r w:rsidRPr="00ED4387">
        <w:t>No amendment, cancellation or discharge of this Assignment shall be valid unless the Assignee shall have consented thereto in writing.</w:t>
      </w:r>
    </w:p>
    <w:p w14:paraId="27CC3ACE" w14:textId="77777777" w:rsidR="00AF0F8F" w:rsidRPr="00ED4387" w:rsidRDefault="00AF0F8F">
      <w:pPr>
        <w:numPr>
          <w:ilvl w:val="1"/>
          <w:numId w:val="9"/>
        </w:numPr>
        <w:tabs>
          <w:tab w:val="clear" w:pos="1440"/>
        </w:tabs>
        <w:ind w:left="0" w:firstLine="720"/>
      </w:pPr>
      <w:r w:rsidRPr="00ED4387">
        <w:t>The terms, covenants, and conditions contained herein shall inure to the benefit of and bind the Assignee and the Assignor and their respective successors and assigns.</w:t>
      </w:r>
    </w:p>
    <w:p w14:paraId="3EA77885" w14:textId="533C45B2" w:rsidR="00AF0F8F" w:rsidRPr="00ED4387" w:rsidRDefault="00AF0F8F" w:rsidP="00A431A6">
      <w:pPr>
        <w:tabs>
          <w:tab w:val="left" w:leader="underscore" w:pos="900"/>
          <w:tab w:val="left" w:leader="underscore" w:pos="2880"/>
        </w:tabs>
        <w:ind w:firstLine="720"/>
      </w:pPr>
      <w:r w:rsidRPr="00ED4387">
        <w:t>IN WITNESS WHEREOF, the undersigned has executed this instrument under seal as of the</w:t>
      </w:r>
      <w:r w:rsidR="00A431A6">
        <w:br/>
      </w:r>
      <w:r w:rsidRPr="00ED4387">
        <w:t xml:space="preserve"> </w:t>
      </w:r>
      <w:r w:rsidR="00A431A6">
        <w:tab/>
      </w:r>
      <w:r w:rsidRPr="00ED4387">
        <w:rPr>
          <w:vertAlign w:val="superscript"/>
        </w:rPr>
        <w:t>th</w:t>
      </w:r>
      <w:r w:rsidRPr="00ED4387">
        <w:t xml:space="preserve"> day of </w:t>
      </w:r>
      <w:r w:rsidR="00A431A6">
        <w:tab/>
      </w:r>
      <w:r w:rsidRPr="00ED4387">
        <w:t xml:space="preserve">, </w:t>
      </w:r>
      <w:r w:rsidR="00611809">
        <w:t>2024</w:t>
      </w:r>
      <w:r w:rsidRPr="00ED4387">
        <w:t>.</w:t>
      </w:r>
    </w:p>
    <w:p w14:paraId="2AE0B4E5" w14:textId="070DDE9C" w:rsidR="00AF0F8F" w:rsidRPr="00ED4387" w:rsidRDefault="00AF0F8F" w:rsidP="002021EE">
      <w:pPr>
        <w:tabs>
          <w:tab w:val="left" w:leader="underscore" w:pos="8640"/>
        </w:tabs>
        <w:spacing w:before="960"/>
        <w:ind w:left="4320"/>
      </w:pPr>
      <w:r w:rsidRPr="00ED4387">
        <w:t xml:space="preserve">By: </w:t>
      </w:r>
      <w:r w:rsidR="007517DE">
        <w:tab/>
      </w:r>
    </w:p>
    <w:p w14:paraId="555A294B" w14:textId="3CE33EF9" w:rsidR="00AF0F8F" w:rsidRPr="00ED4387" w:rsidRDefault="00AF0F8F" w:rsidP="007517DE">
      <w:pPr>
        <w:tabs>
          <w:tab w:val="left" w:pos="7920"/>
        </w:tabs>
        <w:ind w:left="4320"/>
      </w:pPr>
      <w:r w:rsidRPr="00ED4387">
        <w:t xml:space="preserve">Name: </w:t>
      </w:r>
      <w:r w:rsidR="007517DE">
        <w:br/>
      </w:r>
      <w:r w:rsidRPr="00ED4387">
        <w:t xml:space="preserve">Title: </w:t>
      </w:r>
      <w:r w:rsidR="007517DE">
        <w:tab/>
      </w:r>
      <w:r w:rsidRPr="00ED4387">
        <w:t xml:space="preserve"> duly authorized</w:t>
      </w:r>
    </w:p>
    <w:p w14:paraId="734A0AC0" w14:textId="3240FF4B" w:rsidR="00AF0F8F" w:rsidRPr="00ED4387" w:rsidRDefault="00AF0F8F" w:rsidP="002021EE">
      <w:pPr>
        <w:tabs>
          <w:tab w:val="left" w:pos="2880"/>
          <w:tab w:val="left" w:leader="underscore" w:pos="4680"/>
        </w:tabs>
      </w:pPr>
      <w:r w:rsidRPr="00ED4387">
        <w:t xml:space="preserve">STATE OF </w:t>
      </w:r>
      <w:r w:rsidR="007517DE">
        <w:br/>
      </w:r>
      <w:r w:rsidRPr="00ED4387">
        <w:t>COUNTY OF</w:t>
      </w:r>
      <w:r w:rsidR="00D87FE6">
        <w:tab/>
      </w:r>
      <w:r w:rsidRPr="00ED4387">
        <w:t>, ss.</w:t>
      </w:r>
      <w:r w:rsidRPr="00ED4387">
        <w:tab/>
        <w:t xml:space="preserve">, </w:t>
      </w:r>
      <w:r w:rsidR="00100088">
        <w:t>2024</w:t>
      </w:r>
    </w:p>
    <w:p w14:paraId="4DB314E8" w14:textId="025E2EB4" w:rsidR="00AF0F8F" w:rsidRPr="00ED4387" w:rsidRDefault="00AF0F8F" w:rsidP="00D87FE6">
      <w:pPr>
        <w:tabs>
          <w:tab w:val="left" w:leader="underscore" w:pos="3330"/>
          <w:tab w:val="left" w:leader="underscore" w:pos="3600"/>
          <w:tab w:val="left" w:leader="underscore" w:pos="6480"/>
          <w:tab w:val="left" w:leader="underscore" w:pos="7200"/>
        </w:tabs>
        <w:ind w:firstLine="720"/>
      </w:pPr>
      <w:r w:rsidRPr="00ED4387">
        <w:t xml:space="preserve">Then personally appeared before me </w:t>
      </w:r>
      <w:r w:rsidR="00D87FE6">
        <w:tab/>
      </w:r>
      <w:r w:rsidRPr="00ED4387">
        <w:t xml:space="preserve">, the duly authorized </w:t>
      </w:r>
      <w:r w:rsidR="00D87FE6">
        <w:br/>
      </w:r>
      <w:r w:rsidR="00D87FE6">
        <w:tab/>
      </w:r>
      <w:r w:rsidRPr="00ED4387">
        <w:t xml:space="preserve">of </w:t>
      </w:r>
      <w:r w:rsidR="00D87FE6">
        <w:tab/>
      </w:r>
      <w:r w:rsidR="00D87FE6">
        <w:tab/>
      </w:r>
      <w:r w:rsidRPr="00ED4387">
        <w:t xml:space="preserve">, and acknowledged the foregoing instrument by him so executed to be his free act and deed in his said capacity and the free act and deed of such </w:t>
      </w:r>
      <w:r w:rsidR="00D87FE6">
        <w:tab/>
      </w:r>
    </w:p>
    <w:p w14:paraId="1B52AA60" w14:textId="616FDBFA" w:rsidR="00AF0F8F" w:rsidRPr="00ED4387" w:rsidRDefault="00AF0F8F" w:rsidP="00D87FE6">
      <w:pPr>
        <w:tabs>
          <w:tab w:val="left" w:pos="4410"/>
          <w:tab w:val="left" w:leader="underscore" w:pos="8010"/>
        </w:tabs>
      </w:pPr>
      <w:r w:rsidRPr="00ED4387">
        <w:tab/>
      </w:r>
      <w:r w:rsidR="00035156">
        <w:tab/>
      </w:r>
      <w:r w:rsidR="00035156">
        <w:br/>
      </w:r>
      <w:r w:rsidR="00EA57D3">
        <w:tab/>
      </w:r>
      <w:r w:rsidRPr="00ED4387">
        <w:t>Notary Public/Attorney at Law</w:t>
      </w:r>
    </w:p>
    <w:p w14:paraId="59C7568A" w14:textId="34AE06D7" w:rsidR="00AF0F8F" w:rsidRPr="00ED4387" w:rsidRDefault="00035156" w:rsidP="00D87FE6">
      <w:pPr>
        <w:tabs>
          <w:tab w:val="left" w:pos="4410"/>
          <w:tab w:val="left" w:leader="underscore" w:pos="8010"/>
        </w:tabs>
      </w:pPr>
      <w:r>
        <w:tab/>
      </w:r>
      <w:r>
        <w:tab/>
      </w:r>
      <w:r>
        <w:br/>
      </w:r>
      <w:r>
        <w:tab/>
      </w:r>
      <w:r w:rsidR="00AF0F8F" w:rsidRPr="00ED4387">
        <w:t>Printed Name</w:t>
      </w:r>
    </w:p>
    <w:p w14:paraId="4444FDCA" w14:textId="6C7C2713" w:rsidR="00AF0F8F" w:rsidRPr="00ED4387" w:rsidRDefault="00035156" w:rsidP="00D87FE6">
      <w:pPr>
        <w:tabs>
          <w:tab w:val="left" w:pos="4410"/>
          <w:tab w:val="left" w:pos="6480"/>
          <w:tab w:val="left" w:leader="underscore" w:pos="8280"/>
        </w:tabs>
        <w:rPr>
          <w:u w:val="single"/>
        </w:rPr>
      </w:pPr>
      <w:r>
        <w:tab/>
      </w:r>
      <w:r w:rsidR="00AF0F8F" w:rsidRPr="00ED4387">
        <w:t xml:space="preserve">My commission expires: </w:t>
      </w:r>
      <w:r>
        <w:tab/>
      </w:r>
      <w:r>
        <w:tab/>
      </w:r>
    </w:p>
    <w:sectPr w:rsidR="00AF0F8F" w:rsidRPr="00ED4387" w:rsidSect="006A687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BA90" w14:textId="77777777" w:rsidR="006A6877" w:rsidRDefault="006A6877">
      <w:r>
        <w:separator/>
      </w:r>
    </w:p>
  </w:endnote>
  <w:endnote w:type="continuationSeparator" w:id="0">
    <w:p w14:paraId="1C0E2776" w14:textId="77777777" w:rsidR="006A6877" w:rsidRDefault="006A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474F" w14:textId="77777777" w:rsidR="00E7487B" w:rsidRDefault="00E74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56B2" w14:textId="690D5C9A" w:rsidR="00252EC1" w:rsidRPr="00252EC1" w:rsidRDefault="00E7487B" w:rsidP="00035156">
    <w:pPr>
      <w:pStyle w:val="Footer"/>
      <w:tabs>
        <w:tab w:val="clear" w:pos="8640"/>
        <w:tab w:val="right" w:pos="9360"/>
      </w:tabs>
      <w:rPr>
        <w:rFonts w:ascii="Calibri" w:hAnsi="Calibri" w:cs="Calibri"/>
        <w:color w:val="000000"/>
        <w:sz w:val="20"/>
      </w:rPr>
    </w:pPr>
    <w:r>
      <w:rPr>
        <w:noProof/>
      </w:rPr>
      <mc:AlternateContent>
        <mc:Choice Requires="wps">
          <w:drawing>
            <wp:anchor distT="0" distB="0" distL="114300" distR="114300" simplePos="0" relativeHeight="251659264" behindDoc="0" locked="0" layoutInCell="0" allowOverlap="1" wp14:anchorId="40A673EF" wp14:editId="7B6A4FD7">
              <wp:simplePos x="0" y="0"/>
              <wp:positionH relativeFrom="page">
                <wp:posOffset>0</wp:posOffset>
              </wp:positionH>
              <wp:positionV relativeFrom="page">
                <wp:posOffset>9594215</wp:posOffset>
              </wp:positionV>
              <wp:extent cx="7772400" cy="273050"/>
              <wp:effectExtent l="0" t="0" r="0" b="12700"/>
              <wp:wrapNone/>
              <wp:docPr id="1" name="MSIPCM4879417b822f32ae10e73ba9" descr="{&quot;HashCode&quot;:248232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291693" w14:textId="68644420" w:rsidR="00E7487B" w:rsidRPr="00E7487B" w:rsidRDefault="00E7487B" w:rsidP="00E7487B">
                          <w:pPr>
                            <w:spacing w:before="0" w:after="0"/>
                            <w:rPr>
                              <w:rFonts w:ascii="Calibri" w:hAnsi="Calibri" w:cs="Calibri"/>
                              <w:color w:val="000000"/>
                              <w:sz w:val="20"/>
                            </w:rPr>
                          </w:pPr>
                          <w:r w:rsidRPr="00E7487B">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A673EF" id="_x0000_t202" coordsize="21600,21600" o:spt="202" path="m,l,21600r21600,l21600,xe">
              <v:stroke joinstyle="miter"/>
              <v:path gradientshapeok="t" o:connecttype="rect"/>
            </v:shapetype>
            <v:shape id="MSIPCM4879417b822f32ae10e73ba9" o:spid="_x0000_s1026" type="#_x0000_t202" alt="{&quot;HashCode&quot;:24823256,&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fill o:detectmouseclick="t"/>
              <v:textbox inset="20pt,0,,0">
                <w:txbxContent>
                  <w:p w14:paraId="55291693" w14:textId="68644420" w:rsidR="00E7487B" w:rsidRPr="00E7487B" w:rsidRDefault="00E7487B" w:rsidP="00E7487B">
                    <w:pPr>
                      <w:spacing w:before="0" w:after="0"/>
                      <w:rPr>
                        <w:rFonts w:ascii="Calibri" w:hAnsi="Calibri" w:cs="Calibri"/>
                        <w:color w:val="000000"/>
                        <w:sz w:val="20"/>
                      </w:rPr>
                    </w:pPr>
                    <w:r w:rsidRPr="00E7487B">
                      <w:rPr>
                        <w:rFonts w:ascii="Calibri" w:hAnsi="Calibri" w:cs="Calibri"/>
                        <w:color w:val="000000"/>
                        <w:sz w:val="20"/>
                      </w:rPr>
                      <w:t>Classification: Public</w:t>
                    </w:r>
                  </w:p>
                </w:txbxContent>
              </v:textbox>
              <w10:wrap anchorx="page" anchory="page"/>
            </v:shape>
          </w:pict>
        </mc:Fallback>
      </mc:AlternateContent>
    </w:r>
    <w:r w:rsidR="001A4034" w:rsidRPr="00B94653">
      <w:t xml:space="preserve">Page </w:t>
    </w:r>
    <w:r w:rsidR="001A4034" w:rsidRPr="00B94653">
      <w:fldChar w:fldCharType="begin"/>
    </w:r>
    <w:r w:rsidR="001A4034" w:rsidRPr="00B94653">
      <w:instrText xml:space="preserve"> PAGE   \* MERGEFORMAT </w:instrText>
    </w:r>
    <w:r w:rsidR="001A4034" w:rsidRPr="00B94653">
      <w:fldChar w:fldCharType="separate"/>
    </w:r>
    <w:r w:rsidR="001A4034" w:rsidRPr="00B94653">
      <w:rPr>
        <w:noProof/>
      </w:rPr>
      <w:t>1</w:t>
    </w:r>
    <w:r w:rsidR="001A4034" w:rsidRPr="00B94653">
      <w:rPr>
        <w:noProof/>
      </w:rPr>
      <w:fldChar w:fldCharType="end"/>
    </w:r>
    <w:r w:rsidR="00B94653">
      <w:rPr>
        <w:noProof/>
      </w:rPr>
      <w:tab/>
    </w:r>
    <w:r w:rsidR="00B94653">
      <w:rPr>
        <w:noProof/>
      </w:rPr>
      <w:tab/>
      <w:t xml:space="preserve">Revised </w:t>
    </w:r>
    <w:r w:rsidR="004C5208">
      <w:rPr>
        <w:noProof/>
      </w:rPr>
      <w:t>11/30/2023</w:t>
    </w:r>
    <w:r w:rsidR="00035156">
      <w:rPr>
        <w:noProof/>
      </w:rPr>
      <w:br/>
    </w:r>
    <w:r w:rsidR="00252EC1" w:rsidRPr="001A4034">
      <w:rPr>
        <w:rFonts w:ascii="Calibri" w:hAnsi="Calibri" w:cs="Calibri"/>
        <w:color w:val="000000"/>
        <w:sz w:val="20"/>
      </w:rPr>
      <w:t>Classification: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7268" w14:textId="0575BDE1" w:rsidR="001A4034" w:rsidRPr="00252EC1" w:rsidRDefault="00E7487B" w:rsidP="00252EC1">
    <w:pPr>
      <w:rPr>
        <w:rFonts w:cs="Calibri"/>
        <w:color w:val="000000"/>
        <w:sz w:val="20"/>
      </w:rPr>
    </w:pPr>
    <w:r>
      <w:rPr>
        <w:rFonts w:cs="Calibri"/>
        <w:noProof/>
        <w:color w:val="000000"/>
        <w:sz w:val="20"/>
      </w:rPr>
      <mc:AlternateContent>
        <mc:Choice Requires="wps">
          <w:drawing>
            <wp:anchor distT="0" distB="0" distL="114300" distR="114300" simplePos="0" relativeHeight="251660288" behindDoc="0" locked="0" layoutInCell="0" allowOverlap="1" wp14:anchorId="11021CAF" wp14:editId="02D3AACD">
              <wp:simplePos x="0" y="0"/>
              <wp:positionH relativeFrom="page">
                <wp:posOffset>0</wp:posOffset>
              </wp:positionH>
              <wp:positionV relativeFrom="page">
                <wp:posOffset>9594215</wp:posOffset>
              </wp:positionV>
              <wp:extent cx="7772400" cy="273050"/>
              <wp:effectExtent l="0" t="0" r="0" b="12700"/>
              <wp:wrapNone/>
              <wp:docPr id="2" name="MSIPCM93134e279eb0cebaaf708696" descr="{&quot;HashCode&quot;:24823256,&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06FF95" w14:textId="6F001416" w:rsidR="00E7487B" w:rsidRPr="00E7487B" w:rsidRDefault="00E7487B" w:rsidP="00E7487B">
                          <w:pPr>
                            <w:spacing w:before="0" w:after="0"/>
                            <w:rPr>
                              <w:rFonts w:ascii="Calibri" w:hAnsi="Calibri" w:cs="Calibri"/>
                              <w:color w:val="000000"/>
                              <w:sz w:val="20"/>
                            </w:rPr>
                          </w:pPr>
                          <w:r w:rsidRPr="00E7487B">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021CAF" id="_x0000_t202" coordsize="21600,21600" o:spt="202" path="m,l,21600r21600,l21600,xe">
              <v:stroke joinstyle="miter"/>
              <v:path gradientshapeok="t" o:connecttype="rect"/>
            </v:shapetype>
            <v:shape id="MSIPCM93134e279eb0cebaaf708696" o:spid="_x0000_s1027" type="#_x0000_t202" alt="{&quot;HashCode&quot;:24823256,&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fill o:detectmouseclick="t"/>
              <v:textbox inset="20pt,0,,0">
                <w:txbxContent>
                  <w:p w14:paraId="7D06FF95" w14:textId="6F001416" w:rsidR="00E7487B" w:rsidRPr="00E7487B" w:rsidRDefault="00E7487B" w:rsidP="00E7487B">
                    <w:pPr>
                      <w:spacing w:before="0" w:after="0"/>
                      <w:rPr>
                        <w:rFonts w:ascii="Calibri" w:hAnsi="Calibri" w:cs="Calibri"/>
                        <w:color w:val="000000"/>
                        <w:sz w:val="20"/>
                      </w:rPr>
                    </w:pPr>
                    <w:r w:rsidRPr="00E7487B">
                      <w:rPr>
                        <w:rFonts w:ascii="Calibri" w:hAnsi="Calibri" w:cs="Calibri"/>
                        <w:color w:val="000000"/>
                        <w:sz w:val="20"/>
                      </w:rPr>
                      <w:t>Classification: Public</w:t>
                    </w:r>
                  </w:p>
                </w:txbxContent>
              </v:textbox>
              <w10:wrap anchorx="page" anchory="page"/>
            </v:shape>
          </w:pict>
        </mc:Fallback>
      </mc:AlternateContent>
    </w:r>
    <w:r w:rsidR="00252EC1" w:rsidRPr="00ED4387">
      <w:rPr>
        <w:rFonts w:cs="Calibri"/>
        <w:color w:val="000000"/>
        <w:sz w:val="20"/>
      </w:rPr>
      <w:t>Classification: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5F17" w14:textId="77777777" w:rsidR="006A6877" w:rsidRDefault="006A6877">
      <w:r>
        <w:separator/>
      </w:r>
    </w:p>
  </w:footnote>
  <w:footnote w:type="continuationSeparator" w:id="0">
    <w:p w14:paraId="72731828" w14:textId="77777777" w:rsidR="006A6877" w:rsidRDefault="006A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F226" w14:textId="77777777" w:rsidR="00E7487B" w:rsidRDefault="00E74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520B" w14:textId="77777777" w:rsidR="00E7487B" w:rsidRDefault="00E74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27B1" w14:textId="77777777" w:rsidR="00E7487B" w:rsidRDefault="00E7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3842A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F460C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54B52"/>
    <w:multiLevelType w:val="multilevel"/>
    <w:tmpl w:val="7C1E0CC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6297DC4"/>
    <w:multiLevelType w:val="multilevel"/>
    <w:tmpl w:val="25941F6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CF4A67"/>
    <w:multiLevelType w:val="hybridMultilevel"/>
    <w:tmpl w:val="B57C02E0"/>
    <w:lvl w:ilvl="0" w:tplc="F6605A4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1C58FC"/>
    <w:multiLevelType w:val="multilevel"/>
    <w:tmpl w:val="7C1E0CC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5FE71B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8E28BF"/>
    <w:multiLevelType w:val="multilevel"/>
    <w:tmpl w:val="7C1E0CC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AB100F5"/>
    <w:multiLevelType w:val="hybridMultilevel"/>
    <w:tmpl w:val="B8FABFF8"/>
    <w:lvl w:ilvl="0" w:tplc="C75A3E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23949"/>
    <w:multiLevelType w:val="multilevel"/>
    <w:tmpl w:val="699CEAF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D3B7E5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0B721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1465125"/>
    <w:multiLevelType w:val="multilevel"/>
    <w:tmpl w:val="FFB6B1DE"/>
    <w:lvl w:ilvl="0">
      <w:start w:val="2"/>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D67603"/>
    <w:multiLevelType w:val="multilevel"/>
    <w:tmpl w:val="699CEAF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E23556D"/>
    <w:multiLevelType w:val="multilevel"/>
    <w:tmpl w:val="699CEAF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E6D3B0F"/>
    <w:multiLevelType w:val="hybridMultilevel"/>
    <w:tmpl w:val="FD06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53DD4"/>
    <w:multiLevelType w:val="hybridMultilevel"/>
    <w:tmpl w:val="7C1E0CC4"/>
    <w:lvl w:ilvl="0" w:tplc="E14CB13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7CC0FCB"/>
    <w:multiLevelType w:val="hybridMultilevel"/>
    <w:tmpl w:val="249262E6"/>
    <w:lvl w:ilvl="0" w:tplc="74C4F640">
      <w:start w:val="1"/>
      <w:numFmt w:val="upperLetter"/>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520D6E"/>
    <w:multiLevelType w:val="hybridMultilevel"/>
    <w:tmpl w:val="9E5C95E0"/>
    <w:lvl w:ilvl="0" w:tplc="2FEE3C18">
      <w:start w:val="1"/>
      <w:numFmt w:val="decimal"/>
      <w:pStyle w:val="H2List"/>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A73CA"/>
    <w:multiLevelType w:val="multilevel"/>
    <w:tmpl w:val="7C1E0CC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847791784">
    <w:abstractNumId w:val="16"/>
  </w:num>
  <w:num w:numId="2" w16cid:durableId="653339504">
    <w:abstractNumId w:val="5"/>
  </w:num>
  <w:num w:numId="3" w16cid:durableId="701905847">
    <w:abstractNumId w:val="6"/>
  </w:num>
  <w:num w:numId="4" w16cid:durableId="317081094">
    <w:abstractNumId w:val="11"/>
  </w:num>
  <w:num w:numId="5" w16cid:durableId="247271636">
    <w:abstractNumId w:val="10"/>
  </w:num>
  <w:num w:numId="6" w16cid:durableId="899367017">
    <w:abstractNumId w:val="19"/>
  </w:num>
  <w:num w:numId="7" w16cid:durableId="1038818861">
    <w:abstractNumId w:val="7"/>
  </w:num>
  <w:num w:numId="8" w16cid:durableId="1551187841">
    <w:abstractNumId w:val="2"/>
  </w:num>
  <w:num w:numId="9" w16cid:durableId="2051564115">
    <w:abstractNumId w:val="12"/>
  </w:num>
  <w:num w:numId="10" w16cid:durableId="1326974496">
    <w:abstractNumId w:val="13"/>
  </w:num>
  <w:num w:numId="11" w16cid:durableId="429474341">
    <w:abstractNumId w:val="14"/>
  </w:num>
  <w:num w:numId="12" w16cid:durableId="1488549292">
    <w:abstractNumId w:val="9"/>
  </w:num>
  <w:num w:numId="13" w16cid:durableId="179468839">
    <w:abstractNumId w:val="3"/>
  </w:num>
  <w:num w:numId="14" w16cid:durableId="85738644">
    <w:abstractNumId w:val="15"/>
  </w:num>
  <w:num w:numId="15" w16cid:durableId="836457378">
    <w:abstractNumId w:val="8"/>
  </w:num>
  <w:num w:numId="16" w16cid:durableId="1116293742">
    <w:abstractNumId w:val="4"/>
  </w:num>
  <w:num w:numId="17" w16cid:durableId="482892291">
    <w:abstractNumId w:val="18"/>
  </w:num>
  <w:num w:numId="18" w16cid:durableId="2120375253">
    <w:abstractNumId w:val="17"/>
  </w:num>
  <w:num w:numId="19" w16cid:durableId="1443263839">
    <w:abstractNumId w:val="0"/>
  </w:num>
  <w:num w:numId="20" w16cid:durableId="1987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A2"/>
    <w:rsid w:val="000205DC"/>
    <w:rsid w:val="00035156"/>
    <w:rsid w:val="00056AD2"/>
    <w:rsid w:val="00086BA2"/>
    <w:rsid w:val="00097095"/>
    <w:rsid w:val="00100088"/>
    <w:rsid w:val="00105E8E"/>
    <w:rsid w:val="001A4034"/>
    <w:rsid w:val="001B02CB"/>
    <w:rsid w:val="002021EE"/>
    <w:rsid w:val="00214FED"/>
    <w:rsid w:val="00244E41"/>
    <w:rsid w:val="00252EC1"/>
    <w:rsid w:val="002A4C7F"/>
    <w:rsid w:val="002E54A2"/>
    <w:rsid w:val="002F5210"/>
    <w:rsid w:val="003A0D8A"/>
    <w:rsid w:val="003A6582"/>
    <w:rsid w:val="004B52BA"/>
    <w:rsid w:val="004C3C0C"/>
    <w:rsid w:val="004C5208"/>
    <w:rsid w:val="004E093E"/>
    <w:rsid w:val="005215A4"/>
    <w:rsid w:val="00575DEA"/>
    <w:rsid w:val="005939D1"/>
    <w:rsid w:val="005A79B3"/>
    <w:rsid w:val="005C4B17"/>
    <w:rsid w:val="00611809"/>
    <w:rsid w:val="0069034D"/>
    <w:rsid w:val="006A6877"/>
    <w:rsid w:val="006B029A"/>
    <w:rsid w:val="006B440A"/>
    <w:rsid w:val="006D4C6C"/>
    <w:rsid w:val="006E6956"/>
    <w:rsid w:val="0070333F"/>
    <w:rsid w:val="007517DE"/>
    <w:rsid w:val="00806C1E"/>
    <w:rsid w:val="00813C49"/>
    <w:rsid w:val="0085613A"/>
    <w:rsid w:val="0088083C"/>
    <w:rsid w:val="008A335C"/>
    <w:rsid w:val="008C7AE9"/>
    <w:rsid w:val="008D3512"/>
    <w:rsid w:val="008F5672"/>
    <w:rsid w:val="00922708"/>
    <w:rsid w:val="00943B15"/>
    <w:rsid w:val="00945AD4"/>
    <w:rsid w:val="00A321FC"/>
    <w:rsid w:val="00A36665"/>
    <w:rsid w:val="00A431A6"/>
    <w:rsid w:val="00A90EA9"/>
    <w:rsid w:val="00AD5407"/>
    <w:rsid w:val="00AD687A"/>
    <w:rsid w:val="00AF0F8F"/>
    <w:rsid w:val="00B12DD7"/>
    <w:rsid w:val="00B20DB0"/>
    <w:rsid w:val="00B94653"/>
    <w:rsid w:val="00BA0E16"/>
    <w:rsid w:val="00C92FBF"/>
    <w:rsid w:val="00CB600A"/>
    <w:rsid w:val="00CD0E90"/>
    <w:rsid w:val="00D61346"/>
    <w:rsid w:val="00D87FE6"/>
    <w:rsid w:val="00D91C5E"/>
    <w:rsid w:val="00D95909"/>
    <w:rsid w:val="00E7487B"/>
    <w:rsid w:val="00EA57D3"/>
    <w:rsid w:val="00ED4387"/>
    <w:rsid w:val="00F51BFC"/>
    <w:rsid w:val="00FD4A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059DB"/>
  <w15:chartTrackingRefBased/>
  <w15:docId w15:val="{2FE4AC82-E912-482E-8738-72E7AEBA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EE"/>
    <w:pPr>
      <w:spacing w:before="240" w:after="240"/>
    </w:pPr>
    <w:rPr>
      <w:rFonts w:ascii="Arial Narrow" w:hAnsi="Arial Narrow"/>
      <w:sz w:val="24"/>
      <w:szCs w:val="24"/>
      <w:lang w:val="en-US" w:eastAsia="en-US"/>
    </w:rPr>
  </w:style>
  <w:style w:type="paragraph" w:styleId="Heading1">
    <w:name w:val="heading 1"/>
    <w:basedOn w:val="Normal"/>
    <w:next w:val="Normal"/>
    <w:link w:val="Heading1Char"/>
    <w:qFormat/>
    <w:rsid w:val="00EA57D3"/>
    <w:pPr>
      <w:keepNext/>
      <w:autoSpaceDE w:val="0"/>
      <w:autoSpaceDN w:val="0"/>
      <w:adjustRightInd w:val="0"/>
      <w:jc w:val="center"/>
      <w:outlineLvl w:val="0"/>
    </w:pPr>
    <w:rPr>
      <w:b/>
      <w:bCs/>
    </w:rPr>
  </w:style>
  <w:style w:type="paragraph" w:styleId="Heading2">
    <w:name w:val="heading 2"/>
    <w:basedOn w:val="Normal"/>
    <w:next w:val="Normal"/>
    <w:link w:val="Heading2Char"/>
    <w:qFormat/>
    <w:rsid w:val="00EA57D3"/>
    <w:pPr>
      <w:keepNext/>
      <w:autoSpaceDE w:val="0"/>
      <w:autoSpaceDN w:val="0"/>
      <w:adjustRightInd w:val="0"/>
      <w:jc w:val="center"/>
      <w:outlineLvl w:val="1"/>
    </w:pPr>
    <w:rPr>
      <w:b/>
      <w:bCs/>
      <w:sz w:val="28"/>
      <w:szCs w:val="28"/>
    </w:rPr>
  </w:style>
  <w:style w:type="paragraph" w:styleId="Heading3">
    <w:name w:val="heading 3"/>
    <w:basedOn w:val="Normal"/>
    <w:next w:val="Normal"/>
    <w:link w:val="Heading3Char"/>
    <w:qFormat/>
    <w:rsid w:val="002021EE"/>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7D3"/>
    <w:pPr>
      <w:tabs>
        <w:tab w:val="center" w:pos="4320"/>
        <w:tab w:val="right" w:pos="8640"/>
      </w:tabs>
    </w:pPr>
  </w:style>
  <w:style w:type="paragraph" w:styleId="Footer">
    <w:name w:val="footer"/>
    <w:basedOn w:val="Normal"/>
    <w:link w:val="FooterChar"/>
    <w:rsid w:val="00EA57D3"/>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sid w:val="00EA57D3"/>
    <w:rPr>
      <w:rFonts w:ascii="Tahoma" w:hAnsi="Tahoma" w:cs="Tahoma"/>
      <w:sz w:val="16"/>
      <w:szCs w:val="16"/>
    </w:rPr>
  </w:style>
  <w:style w:type="paragraph" w:styleId="BodyText">
    <w:name w:val="Body Text"/>
    <w:basedOn w:val="Normal"/>
    <w:rsid w:val="00EA57D3"/>
    <w:pPr>
      <w:autoSpaceDE w:val="0"/>
      <w:autoSpaceDN w:val="0"/>
      <w:adjustRightInd w:val="0"/>
      <w:jc w:val="both"/>
    </w:pPr>
    <w:rPr>
      <w:b/>
      <w:bCs/>
    </w:rPr>
  </w:style>
  <w:style w:type="character" w:customStyle="1" w:styleId="Heading2Char">
    <w:name w:val="Heading 2 Char"/>
    <w:link w:val="Heading2"/>
    <w:rsid w:val="00086BA2"/>
    <w:rPr>
      <w:rFonts w:ascii="Arial Narrow" w:hAnsi="Arial Narrow"/>
      <w:b/>
      <w:bCs/>
      <w:sz w:val="28"/>
      <w:szCs w:val="28"/>
      <w:lang w:val="en-US" w:eastAsia="en-US"/>
    </w:rPr>
  </w:style>
  <w:style w:type="character" w:customStyle="1" w:styleId="FooterChar">
    <w:name w:val="Footer Char"/>
    <w:link w:val="Footer"/>
    <w:rsid w:val="00B20DB0"/>
    <w:rPr>
      <w:rFonts w:ascii="Arial Narrow" w:hAnsi="Arial Narrow"/>
      <w:sz w:val="24"/>
      <w:szCs w:val="24"/>
      <w:lang w:val="en-US" w:eastAsia="en-US"/>
    </w:rPr>
  </w:style>
  <w:style w:type="paragraph" w:styleId="ListParagraph">
    <w:name w:val="List Paragraph"/>
    <w:basedOn w:val="Normal"/>
    <w:uiPriority w:val="34"/>
    <w:qFormat/>
    <w:rsid w:val="00EA57D3"/>
    <w:pPr>
      <w:numPr>
        <w:numId w:val="18"/>
      </w:numPr>
    </w:pPr>
  </w:style>
  <w:style w:type="paragraph" w:styleId="Revision">
    <w:name w:val="Revision"/>
    <w:hidden/>
    <w:uiPriority w:val="99"/>
    <w:semiHidden/>
    <w:rsid w:val="004C5208"/>
    <w:rPr>
      <w:sz w:val="24"/>
      <w:szCs w:val="24"/>
      <w:lang w:val="en-US" w:eastAsia="en-US"/>
    </w:rPr>
  </w:style>
  <w:style w:type="character" w:styleId="CommentReference">
    <w:name w:val="annotation reference"/>
    <w:rsid w:val="00EA57D3"/>
    <w:rPr>
      <w:sz w:val="16"/>
      <w:szCs w:val="16"/>
    </w:rPr>
  </w:style>
  <w:style w:type="paragraph" w:styleId="CommentText">
    <w:name w:val="annotation text"/>
    <w:basedOn w:val="Normal"/>
    <w:link w:val="CommentTextChar"/>
    <w:rsid w:val="00EA57D3"/>
    <w:rPr>
      <w:sz w:val="20"/>
      <w:szCs w:val="20"/>
    </w:rPr>
  </w:style>
  <w:style w:type="character" w:customStyle="1" w:styleId="CommentTextChar">
    <w:name w:val="Comment Text Char"/>
    <w:basedOn w:val="DefaultParagraphFont"/>
    <w:link w:val="CommentText"/>
    <w:rsid w:val="00EA57D3"/>
    <w:rPr>
      <w:rFonts w:ascii="Arial Narrow" w:hAnsi="Arial Narrow"/>
      <w:lang w:val="en-US" w:eastAsia="en-US"/>
    </w:rPr>
  </w:style>
  <w:style w:type="paragraph" w:styleId="CommentSubject">
    <w:name w:val="annotation subject"/>
    <w:basedOn w:val="CommentText"/>
    <w:next w:val="CommentText"/>
    <w:link w:val="CommentSubjectChar"/>
    <w:rsid w:val="00EA57D3"/>
    <w:rPr>
      <w:b/>
      <w:bCs/>
    </w:rPr>
  </w:style>
  <w:style w:type="character" w:customStyle="1" w:styleId="CommentSubjectChar">
    <w:name w:val="Comment Subject Char"/>
    <w:link w:val="CommentSubject"/>
    <w:rsid w:val="00EA57D3"/>
    <w:rPr>
      <w:rFonts w:ascii="Arial Narrow" w:hAnsi="Arial Narrow"/>
      <w:b/>
      <w:bCs/>
      <w:lang w:val="en-US" w:eastAsia="en-US"/>
    </w:rPr>
  </w:style>
  <w:style w:type="character" w:customStyle="1" w:styleId="Heading1Char">
    <w:name w:val="Heading 1 Char"/>
    <w:basedOn w:val="DefaultParagraphFont"/>
    <w:link w:val="Heading1"/>
    <w:rsid w:val="00252EC1"/>
    <w:rPr>
      <w:rFonts w:ascii="Arial Narrow" w:hAnsi="Arial Narrow"/>
      <w:b/>
      <w:bCs/>
      <w:sz w:val="24"/>
      <w:szCs w:val="24"/>
      <w:lang w:val="en-US" w:eastAsia="en-US"/>
    </w:rPr>
  </w:style>
  <w:style w:type="paragraph" w:styleId="BodyText2">
    <w:name w:val="Body Text 2"/>
    <w:basedOn w:val="Normal"/>
    <w:link w:val="BodyText2Char"/>
    <w:rsid w:val="00EA57D3"/>
    <w:pPr>
      <w:autoSpaceDE w:val="0"/>
      <w:autoSpaceDN w:val="0"/>
      <w:adjustRightInd w:val="0"/>
    </w:pPr>
    <w:rPr>
      <w:sz w:val="22"/>
      <w:szCs w:val="22"/>
    </w:rPr>
  </w:style>
  <w:style w:type="character" w:customStyle="1" w:styleId="BodyText2Char">
    <w:name w:val="Body Text 2 Char"/>
    <w:basedOn w:val="DefaultParagraphFont"/>
    <w:link w:val="BodyText2"/>
    <w:rsid w:val="00EA57D3"/>
    <w:rPr>
      <w:rFonts w:ascii="Arial Narrow" w:hAnsi="Arial Narrow"/>
      <w:sz w:val="22"/>
      <w:szCs w:val="22"/>
      <w:lang w:val="en-US" w:eastAsia="en-US"/>
    </w:rPr>
  </w:style>
  <w:style w:type="paragraph" w:styleId="BodyTextIndent">
    <w:name w:val="Body Text Indent"/>
    <w:basedOn w:val="Normal"/>
    <w:link w:val="BodyTextIndentChar"/>
    <w:rsid w:val="00EA57D3"/>
    <w:pPr>
      <w:autoSpaceDE w:val="0"/>
      <w:autoSpaceDN w:val="0"/>
      <w:adjustRightInd w:val="0"/>
      <w:ind w:left="360"/>
    </w:pPr>
    <w:rPr>
      <w:szCs w:val="22"/>
    </w:rPr>
  </w:style>
  <w:style w:type="character" w:customStyle="1" w:styleId="BodyTextIndentChar">
    <w:name w:val="Body Text Indent Char"/>
    <w:basedOn w:val="DefaultParagraphFont"/>
    <w:link w:val="BodyTextIndent"/>
    <w:rsid w:val="00EA57D3"/>
    <w:rPr>
      <w:rFonts w:ascii="Arial Narrow" w:hAnsi="Arial Narrow"/>
      <w:sz w:val="24"/>
      <w:szCs w:val="22"/>
      <w:lang w:val="en-US" w:eastAsia="en-US"/>
    </w:rPr>
  </w:style>
  <w:style w:type="paragraph" w:styleId="BodyTextIndent2">
    <w:name w:val="Body Text Indent 2"/>
    <w:basedOn w:val="Normal"/>
    <w:link w:val="BodyTextIndent2Char"/>
    <w:rsid w:val="00EA57D3"/>
    <w:pPr>
      <w:autoSpaceDE w:val="0"/>
      <w:autoSpaceDN w:val="0"/>
      <w:adjustRightInd w:val="0"/>
      <w:ind w:left="360" w:hanging="360"/>
    </w:pPr>
    <w:rPr>
      <w:szCs w:val="22"/>
    </w:rPr>
  </w:style>
  <w:style w:type="character" w:customStyle="1" w:styleId="BodyTextIndent2Char">
    <w:name w:val="Body Text Indent 2 Char"/>
    <w:basedOn w:val="DefaultParagraphFont"/>
    <w:link w:val="BodyTextIndent2"/>
    <w:rsid w:val="00EA57D3"/>
    <w:rPr>
      <w:rFonts w:ascii="Arial Narrow" w:hAnsi="Arial Narrow"/>
      <w:sz w:val="24"/>
      <w:szCs w:val="22"/>
      <w:lang w:val="en-US" w:eastAsia="en-US"/>
    </w:rPr>
  </w:style>
  <w:style w:type="paragraph" w:styleId="BodyTextIndent3">
    <w:name w:val="Body Text Indent 3"/>
    <w:basedOn w:val="Normal"/>
    <w:link w:val="BodyTextIndent3Char"/>
    <w:rsid w:val="00EA57D3"/>
    <w:pPr>
      <w:autoSpaceDE w:val="0"/>
      <w:autoSpaceDN w:val="0"/>
      <w:adjustRightInd w:val="0"/>
      <w:ind w:left="360" w:hanging="360"/>
    </w:pPr>
    <w:rPr>
      <w:sz w:val="22"/>
    </w:rPr>
  </w:style>
  <w:style w:type="character" w:customStyle="1" w:styleId="BodyTextIndent3Char">
    <w:name w:val="Body Text Indent 3 Char"/>
    <w:basedOn w:val="DefaultParagraphFont"/>
    <w:link w:val="BodyTextIndent3"/>
    <w:rsid w:val="00EA57D3"/>
    <w:rPr>
      <w:rFonts w:ascii="Arial Narrow" w:hAnsi="Arial Narrow"/>
      <w:sz w:val="22"/>
      <w:szCs w:val="24"/>
      <w:lang w:val="en-US" w:eastAsia="en-US"/>
    </w:rPr>
  </w:style>
  <w:style w:type="paragraph" w:customStyle="1" w:styleId="H1">
    <w:name w:val="H1"/>
    <w:basedOn w:val="Heading2"/>
    <w:qFormat/>
    <w:rsid w:val="00EA57D3"/>
    <w:pPr>
      <w:spacing w:before="0"/>
    </w:pPr>
    <w:rPr>
      <w:i/>
      <w:sz w:val="24"/>
      <w:szCs w:val="24"/>
      <w:u w:val="single"/>
    </w:rPr>
  </w:style>
  <w:style w:type="paragraph" w:customStyle="1" w:styleId="H2List">
    <w:name w:val="H2 List"/>
    <w:basedOn w:val="Heading2"/>
    <w:qFormat/>
    <w:rsid w:val="00EA57D3"/>
    <w:pPr>
      <w:numPr>
        <w:numId w:val="17"/>
      </w:numPr>
      <w:jc w:val="left"/>
    </w:pPr>
    <w:rPr>
      <w:bCs w:val="0"/>
      <w:sz w:val="24"/>
    </w:rPr>
  </w:style>
  <w:style w:type="paragraph" w:customStyle="1" w:styleId="H2nolist">
    <w:name w:val="H2 no list"/>
    <w:basedOn w:val="Heading2"/>
    <w:qFormat/>
    <w:rsid w:val="002021EE"/>
    <w:rPr>
      <w:bCs w:val="0"/>
      <w:sz w:val="24"/>
      <w:u w:val="single"/>
    </w:rPr>
  </w:style>
  <w:style w:type="character" w:customStyle="1" w:styleId="Heading3Char">
    <w:name w:val="Heading 3 Char"/>
    <w:basedOn w:val="DefaultParagraphFont"/>
    <w:link w:val="Heading3"/>
    <w:rsid w:val="002021EE"/>
    <w:rPr>
      <w:rFonts w:ascii="Arial Narrow" w:hAnsi="Arial Narrow"/>
      <w:sz w:val="24"/>
      <w:szCs w:val="24"/>
      <w:u w:val="single"/>
      <w:lang w:val="en-US" w:eastAsia="en-US"/>
    </w:rPr>
  </w:style>
  <w:style w:type="character" w:styleId="Hyperlink">
    <w:name w:val="Hyperlink"/>
    <w:rsid w:val="00EA57D3"/>
    <w:rPr>
      <w:color w:val="0000FF"/>
      <w:u w:val="single"/>
    </w:rPr>
  </w:style>
  <w:style w:type="character" w:customStyle="1" w:styleId="normaltextrun">
    <w:name w:val="normaltextrun"/>
    <w:rsid w:val="00EA57D3"/>
  </w:style>
  <w:style w:type="paragraph" w:customStyle="1" w:styleId="Textafter2">
    <w:name w:val="Text after 2"/>
    <w:basedOn w:val="Normal"/>
    <w:link w:val="Textafter2Char"/>
    <w:qFormat/>
    <w:rsid w:val="00EA57D3"/>
    <w:pPr>
      <w:ind w:left="1152"/>
    </w:pPr>
    <w:rPr>
      <w:rFonts w:eastAsia="Calibri"/>
      <w:szCs w:val="22"/>
    </w:rPr>
  </w:style>
  <w:style w:type="character" w:customStyle="1" w:styleId="Textafter2Char">
    <w:name w:val="Text after 2 Char"/>
    <w:link w:val="Textafter2"/>
    <w:rsid w:val="00EA57D3"/>
    <w:rPr>
      <w:rFonts w:ascii="Arial Narrow" w:eastAsia="Calibri" w:hAnsi="Arial Narrow"/>
      <w:sz w:val="24"/>
      <w:szCs w:val="22"/>
      <w:lang w:val="en-US" w:eastAsia="en-US"/>
    </w:rPr>
  </w:style>
  <w:style w:type="character" w:styleId="UnresolvedMention">
    <w:name w:val="Unresolved Mention"/>
    <w:uiPriority w:val="99"/>
    <w:semiHidden/>
    <w:unhideWhenUsed/>
    <w:rsid w:val="00EA57D3"/>
    <w:rPr>
      <w:color w:val="605E5C"/>
      <w:shd w:val="clear" w:color="auto" w:fill="E1DFDD"/>
    </w:rPr>
  </w:style>
  <w:style w:type="table" w:styleId="TableGrid">
    <w:name w:val="Table Grid"/>
    <w:basedOn w:val="TableNormal"/>
    <w:uiPriority w:val="39"/>
    <w:rsid w:val="00EA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AD687A"/>
    <w:pPr>
      <w:numPr>
        <w:numId w:val="19"/>
      </w:numPr>
    </w:pPr>
    <w:rPr>
      <w:b/>
    </w:rPr>
  </w:style>
  <w:style w:type="paragraph" w:styleId="ListBullet">
    <w:name w:val="List Bullet"/>
    <w:basedOn w:val="Normal"/>
    <w:uiPriority w:val="99"/>
    <w:unhideWhenUsed/>
    <w:rsid w:val="00AD687A"/>
    <w:pPr>
      <w:numPr>
        <w:numId w:val="20"/>
      </w:num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AFC889A0BCA44BC7337DB06B40D9D" ma:contentTypeVersion="17" ma:contentTypeDescription="Create a new document." ma:contentTypeScope="" ma:versionID="22a92b4bc6c06cdee4d2d7a81e0ada39">
  <xsd:schema xmlns:xsd="http://www.w3.org/2001/XMLSchema" xmlns:xs="http://www.w3.org/2001/XMLSchema" xmlns:p="http://schemas.microsoft.com/office/2006/metadata/properties" xmlns:ns2="64ba8e76-5405-4fed-afaf-3b9f67c76afe" xmlns:ns3="fb892378-d9c6-44f2-8a7d-8a1f7f0f830e" xmlns:ns4="d9adfd6e-3040-4a2b-a013-2045c478e3c6" targetNamespace="http://schemas.microsoft.com/office/2006/metadata/properties" ma:root="true" ma:fieldsID="f305a36b43e582042524e1edc6c7fa80" ns2:_="" ns3:_="" ns4:_="">
    <xsd:import namespace="64ba8e76-5405-4fed-afaf-3b9f67c76afe"/>
    <xsd:import namespace="fb892378-d9c6-44f2-8a7d-8a1f7f0f830e"/>
    <xsd:import namespace="d9adfd6e-3040-4a2b-a013-2045c478e3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92378-d9c6-44f2-8a7d-8a1f7f0f83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adfd6e-3040-4a2b-a013-2045c478e3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2FCF-9F69-4971-86F8-947BCD57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fb892378-d9c6-44f2-8a7d-8a1f7f0f830e"/>
    <ds:schemaRef ds:uri="d9adfd6e-3040-4a2b-a013-2045c478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EC2A5-DF5E-42DC-AD98-EB50ABC448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AF8209-01DB-4F9E-9D00-F1E1D27685D1}">
  <ds:schemaRefs>
    <ds:schemaRef ds:uri="http://schemas.microsoft.com/office/2006/metadata/longProperties"/>
  </ds:schemaRefs>
</ds:datastoreItem>
</file>

<file path=customXml/itemProps4.xml><?xml version="1.0" encoding="utf-8"?>
<ds:datastoreItem xmlns:ds="http://schemas.openxmlformats.org/officeDocument/2006/customXml" ds:itemID="{063B438F-59A3-4DA8-A46B-41B7E5DA4A03}">
  <ds:schemaRefs>
    <ds:schemaRef ds:uri="http://schemas.microsoft.com/sharepoint/v3/contenttype/forms"/>
  </ds:schemaRefs>
</ds:datastoreItem>
</file>

<file path=customXml/itemProps5.xml><?xml version="1.0" encoding="utf-8"?>
<ds:datastoreItem xmlns:ds="http://schemas.openxmlformats.org/officeDocument/2006/customXml" ds:itemID="{7FD6B596-7ACE-4378-9965-727B85A7BF06}">
  <ds:schemaRefs>
    <ds:schemaRef ds:uri="http://schemas.microsoft.com/sharepoint/events"/>
  </ds:schemaRefs>
</ds:datastoreItem>
</file>

<file path=customXml/itemProps6.xml><?xml version="1.0" encoding="utf-8"?>
<ds:datastoreItem xmlns:ds="http://schemas.openxmlformats.org/officeDocument/2006/customXml" ds:itemID="{5A02B6B9-EBEC-4227-B48C-DBD55B24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1420</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COLLATERAL ASSIGNMENT OF PROMISSORY NOTE AND</vt:lpstr>
    </vt:vector>
  </TitlesOfParts>
  <Company>Drummond Woodsum &amp; MacMahon</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COLLATERAL ASSIGNMENT OF PROMISSORY NOTE AND</dc:title>
  <dc:subject/>
  <dc:creator>Gianna Blanchard</dc:creator>
  <cp:keywords/>
  <dc:description>FOR USE IN ALL SIX NEW ENGLAND STATES _x000d_
SUBJECT TO ANY ADDITIONAL STATE LAW REQUIREMENTS._x000d_
</dc:description>
  <cp:lastModifiedBy>Aglaia Pikounis</cp:lastModifiedBy>
  <cp:revision>10</cp:revision>
  <cp:lastPrinted>2006-01-20T14:32:00Z</cp:lastPrinted>
  <dcterms:created xsi:type="dcterms:W3CDTF">2024-01-17T17:45:00Z</dcterms:created>
  <dcterms:modified xsi:type="dcterms:W3CDTF">2024-01-24T18:22:00Z</dcterms:modified>
  <cp:category>.FOR USE IN ALL SIX NEW ENGLAND STATES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FMAUNRJHX262-5-71</vt:lpwstr>
  </property>
  <property fmtid="{D5CDD505-2E9C-101B-9397-08002B2CF9AE}" pid="3" name="_dlc_DocIdItemGuid">
    <vt:lpwstr>1f9dd1e8-b26a-4add-9f10-3a8b0fbc3e3a</vt:lpwstr>
  </property>
  <property fmtid="{D5CDD505-2E9C-101B-9397-08002B2CF9AE}" pid="4" name="_dlc_DocIdUrl">
    <vt:lpwstr>https://fhlbb.sharepoint.com/teams/HCI/_layouts/15/DocIdRedir.aspx?ID=FMAUNRJHX262-5-71, FMAUNRJHX262-5-71</vt:lpwstr>
  </property>
  <property fmtid="{D5CDD505-2E9C-101B-9397-08002B2CF9AE}" pid="5" name="display_urn:schemas-microsoft-com:office:office#Editor">
    <vt:lpwstr>Theo Noell</vt:lpwstr>
  </property>
  <property fmtid="{D5CDD505-2E9C-101B-9397-08002B2CF9AE}" pid="6" name="display_urn:schemas-microsoft-com:office:office#Author">
    <vt:lpwstr>Theo Noell</vt:lpwstr>
  </property>
  <property fmtid="{D5CDD505-2E9C-101B-9397-08002B2CF9AE}" pid="7" name="MSIP_Label_f1562fdd-1b3b-4eb6-8cab-8ccd495854db_Enabled">
    <vt:lpwstr>true</vt:lpwstr>
  </property>
  <property fmtid="{D5CDD505-2E9C-101B-9397-08002B2CF9AE}" pid="8" name="MSIP_Label_f1562fdd-1b3b-4eb6-8cab-8ccd495854db_SetDate">
    <vt:lpwstr>2024-01-24T18:22:25Z</vt:lpwstr>
  </property>
  <property fmtid="{D5CDD505-2E9C-101B-9397-08002B2CF9AE}" pid="9" name="MSIP_Label_f1562fdd-1b3b-4eb6-8cab-8ccd495854db_Method">
    <vt:lpwstr>Privileged</vt:lpwstr>
  </property>
  <property fmtid="{D5CDD505-2E9C-101B-9397-08002B2CF9AE}" pid="10" name="MSIP_Label_f1562fdd-1b3b-4eb6-8cab-8ccd495854db_Name">
    <vt:lpwstr>f1562fdd-1b3b-4eb6-8cab-8ccd495854db</vt:lpwstr>
  </property>
  <property fmtid="{D5CDD505-2E9C-101B-9397-08002B2CF9AE}" pid="11" name="MSIP_Label_f1562fdd-1b3b-4eb6-8cab-8ccd495854db_SiteId">
    <vt:lpwstr>4277c4fa-2220-43f3-857b-669253628fb3</vt:lpwstr>
  </property>
  <property fmtid="{D5CDD505-2E9C-101B-9397-08002B2CF9AE}" pid="12" name="MSIP_Label_f1562fdd-1b3b-4eb6-8cab-8ccd495854db_ActionId">
    <vt:lpwstr>e56eac62-483c-4548-b10a-05c7c401df5b</vt:lpwstr>
  </property>
  <property fmtid="{D5CDD505-2E9C-101B-9397-08002B2CF9AE}" pid="13" name="MSIP_Label_f1562fdd-1b3b-4eb6-8cab-8ccd495854db_ContentBits">
    <vt:lpwstr>2</vt:lpwstr>
  </property>
</Properties>
</file>